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BD" w:rsidRDefault="000401BD" w:rsidP="000401B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B7E429" wp14:editId="13B8FC0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BD" w:rsidRDefault="000401BD" w:rsidP="000401B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0401BD" w:rsidRDefault="000401BD" w:rsidP="000401B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0401BD" w:rsidRDefault="000401BD" w:rsidP="000401B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401BD" w:rsidRDefault="000401BD" w:rsidP="000401B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0401BD" w:rsidRDefault="000401BD" w:rsidP="000401B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401BD" w:rsidRDefault="000401BD" w:rsidP="000401B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AA920DC" wp14:editId="055E77F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01BD" w:rsidRPr="006F749C" w:rsidRDefault="000401BD" w:rsidP="00040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</w:pPr>
      <w:r w:rsidRPr="006F749C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  <w:t>Дохід ЮО – платником ЄП третьої групи, яка обрала особливе оподаткування на період воєнного стану в Україні</w:t>
      </w:r>
    </w:p>
    <w:p w:rsidR="000401BD" w:rsidRPr="006F749C" w:rsidRDefault="000401BD" w:rsidP="00040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4A64BE" w:rsidRPr="006F749C" w:rsidRDefault="007D76C2" w:rsidP="007D76C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</w:pPr>
      <w:r w:rsidRPr="006F749C"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  <w:t>Як визначається дохід ЮО – платником ЄП третьої групи, яка обрала особливе оподаткування на період воєнного стану в Україні, якщо іноземна валюта, яка надійшла на її валютний рахунок від здійснення операції з експорту товарів (робіт, послуг), продається до дати звітного балансу (протягом одного кварталу)?</w:t>
      </w:r>
    </w:p>
    <w:p w:rsidR="007D76C2" w:rsidRPr="006F749C" w:rsidRDefault="007D76C2" w:rsidP="007D7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Пунктом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ХХ «Перехідні положення» Податкового кодексу України від 02 грудня 2010 року № 2755-VI зі змінами та доповненнями (далі – ПКУ) встановлено, що тимчасово, з 01 квітня 2022 року до припинення або скасування воєнного, надзвичайного стану на території України, положення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XIV ПКУ застосовуються з урахуванням особливостей визначених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Податковий (звітний) період для платників єдиного податку третьої групи, які використовують особливості оподаткування, встановлені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ПКУ, дорівнює календарному місяцю (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9.6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Відсоткова ставка єдиного податку для платників єдиного податку третьої групи, які використовують особливості оподаткування, встановлені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ХХ «Перехідні положення» ПКУ, встановлюється у розмірі 2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відс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доходу, визначеного відповідно до ст. 292 ПКУ (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9.4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Форма податкової декларації платника єдиного податку третьої групи на період дії воєнного, надзвичайного стану в Україні затверджена наказом Міністерства фінансів України від 26.04.2022 № 124 (далі – Декларація).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Для юридичної особи – платника єдиного податку третьої групи доходом є будь-який дохід, включаючи дохід представництв, філій, відділень такої юридичної особи, отриманий протягом податкового (звітного) періоду в грошовій формі (готівковій та/або безготівковій); матеріальній або нематеріальній формі, визначеній п. 292.3 ст. 292 ПКУ (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2 п. 292.1 ст. 292 ПКУ).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Дохід, виражений в іноземній валюті, перераховується у гривнях за офіційним курсом гривні до іноземної валюти, встановленим Національним банком України на дату отримання такого доходу (п. 292.5 ст. 292 ПКУ).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Водночас, п. 292.13 ст. 292 ПКУ визначено, що дохід визначається на підставі даних обліку, який ведеться відповідно до ст. 296 ПКУ.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Юридичні особи – платники єдиного податку третьої групи використовують дані спрощеного бухгалтерського обліку щодо доходів та витрат з урахуванням положень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пп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44.2, 44.3 ст. 44 ПКУ (абзац п’ятий п. 296.1 ст. 296 ПКУ).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Юридичні особи - платники єдиного податку третьої групи відповідно до абзацу третього п. 44.2 ст. 44 ПКУ ведуть спрощений бухгалтерський облік доходів та витрат з метою обрахунку об’єкта оподаткування за методикою, затвердженою центральним </w:t>
      </w: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lastRenderedPageBreak/>
        <w:t>органом виконавчої влади, що забезпечує формування та реалізує державну фінансову політику.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Визначення курсових різниць в бухгалтерському обліку здійснюється відповідно до Національного положення (стандарту) бухгалтерського обліку 21 «Вплив змін валютних курсів», затвердженого наказом Міністерства фінансів України від 10.08.2000 № 193 зі змінами та доповненнями (далі – НП(С)БО № 21).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Згідно із п. 4 НП(С)БО 21 курсова різниця – різниця між оцінками однакової кількості одиниць іноземної валюти при різних валютних курсах. Валютний курс – установлений Національним банком України курс грошової одиниці України до грошової одиниці іншої країни.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Відповідно до п. 8 НП(С)БО 21 визначення курсових різниць за монетарними статтями в іноземній валюті проводиться на дату балансу, а також на дату здійснення господарської операції в її межах або за всією статтею (відповідно до облікової політики).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Абзацом першим частини першої ст. 13 Закону України від 16 липня 1999 року № 996-XIV «Про бухгалтерський облік та фінансову звітність в Україні» зі змінами та доповненнями встановлено, що звітним періодом для складання фінансової звітності є календарний рік. Проміжна фінансова звітність складається за результатами першого кварталу, першого півріччя, дев’яти місяців. Тобто, датою звітного балансу є останній день кварталу.</w:t>
      </w:r>
    </w:p>
    <w:p w:rsidR="007D76C2" w:rsidRPr="006F749C" w:rsidRDefault="007D76C2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Враховуючи те, що податковий (звітний) період для платників єдиного податку третьої групи, які використовують особливості оподаткування, встановлені п. 9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ПКУ, дорівнює календарному місяцю, то у разі продажу іноземної валюти, яка надійшла на валютний рахунок від здійснення операції з експорту товарів (робіт, послуг), до дати звітного балансу (протягом одного кварталу), у складі доходу враховується позитивна різниця між доходом, отриманим від продажу цієї валюти, та доходом, отриманим від здійснення перерахунку такої іноземної валюти в гривні на дату її надходження на валютний рахунок. При цьому такий дохід декларується у Декларації за податковий (звітний) період – місяць, в якому було здійснено продаж валюти, отриманої від здійснення операцій з експорту товарів, робіт, послуг.</w:t>
      </w:r>
    </w:p>
    <w:p w:rsidR="006F749C" w:rsidRPr="006F749C" w:rsidRDefault="006F749C" w:rsidP="006F749C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інформацією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загальнодоступного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інформаційно-довідкового</w:t>
      </w:r>
      <w:proofErr w:type="spellEnd"/>
      <w:r w:rsidRPr="006F74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ресурсу.</w:t>
      </w:r>
    </w:p>
    <w:p w:rsidR="006F749C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42C22" w:rsidRPr="00C42C22" w:rsidRDefault="00C42C22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" w:name="_GoBack"/>
      <w:bookmarkEnd w:id="1"/>
    </w:p>
    <w:p w:rsidR="006F749C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749C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749C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749C" w:rsidRPr="00C42C22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42C2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2C2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42C2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42C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42C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42C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42C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F749C" w:rsidRPr="00EA716F" w:rsidRDefault="006F749C" w:rsidP="006F74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F749C" w:rsidRPr="00F32254" w:rsidRDefault="006F749C" w:rsidP="006F7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1BD" w:rsidRPr="006F749C" w:rsidRDefault="000401BD" w:rsidP="007D7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401BD" w:rsidRPr="006F749C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C2"/>
    <w:rsid w:val="000401BD"/>
    <w:rsid w:val="004A64BE"/>
    <w:rsid w:val="006F749C"/>
    <w:rsid w:val="00751448"/>
    <w:rsid w:val="007D76C2"/>
    <w:rsid w:val="00C42C22"/>
    <w:rsid w:val="00C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1B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F749C"/>
  </w:style>
  <w:style w:type="character" w:styleId="a5">
    <w:name w:val="Hyperlink"/>
    <w:uiPriority w:val="99"/>
    <w:rsid w:val="006F74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1B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F749C"/>
  </w:style>
  <w:style w:type="character" w:styleId="a5">
    <w:name w:val="Hyperlink"/>
    <w:uiPriority w:val="99"/>
    <w:rsid w:val="006F74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3405</Words>
  <Characters>1941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2022-09-20T06:50:00Z</cp:lastPrinted>
  <dcterms:created xsi:type="dcterms:W3CDTF">2022-09-19T12:47:00Z</dcterms:created>
  <dcterms:modified xsi:type="dcterms:W3CDTF">2022-09-27T05:53:00Z</dcterms:modified>
</cp:coreProperties>
</file>